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2D1D4B7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4429E">
        <w:rPr>
          <w:rFonts w:ascii="Arial" w:hAnsi="Arial" w:cs="Arial"/>
          <w:b/>
          <w:bCs/>
          <w:sz w:val="28"/>
          <w:szCs w:val="24"/>
        </w:rPr>
        <w:t>0138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FFA07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42967">
        <w:rPr>
          <w:color w:val="0D0D0D"/>
        </w:rPr>
        <w:t xml:space="preserve">Reply </w:t>
      </w:r>
      <w:r w:rsidR="00B42967" w:rsidRPr="00B42967">
        <w:rPr>
          <w:color w:val="0D0D0D"/>
        </w:rPr>
        <w:t>LS on Satellite IDs for store-and-forward operation</w:t>
      </w:r>
    </w:p>
    <w:p w14:paraId="723DDC09" w14:textId="2C3B9EF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42967" w:rsidRPr="00B42967">
        <w:rPr>
          <w:bCs w:val="0"/>
        </w:rPr>
        <w:t>LS on Satellite IDs for store-and-forward operation</w:t>
      </w:r>
      <w:r w:rsidR="00FF7B54">
        <w:rPr>
          <w:bCs w:val="0"/>
        </w:rPr>
        <w:t xml:space="preserve"> (</w:t>
      </w:r>
      <w:r w:rsidR="00B42967">
        <w:rPr>
          <w:bCs w:val="0"/>
        </w:rPr>
        <w:t>R2-24111</w:t>
      </w:r>
      <w:r w:rsidR="00237F6E">
        <w:rPr>
          <w:bCs w:val="0"/>
        </w:rPr>
        <w:t>97</w:t>
      </w:r>
      <w:r w:rsidR="00FF7B54">
        <w:rPr>
          <w:bCs w:val="0"/>
        </w:rPr>
        <w:t>/S2-2</w:t>
      </w:r>
      <w:r w:rsidR="00877FD6">
        <w:rPr>
          <w:bCs w:val="0"/>
        </w:rPr>
        <w:t>5</w:t>
      </w:r>
      <w:r w:rsidR="00A46486">
        <w:rPr>
          <w:bCs w:val="0"/>
        </w:rPr>
        <w:t>0</w:t>
      </w:r>
      <w:r w:rsidR="006770EC">
        <w:rPr>
          <w:bCs w:val="0"/>
        </w:rPr>
        <w:t>abcd</w:t>
      </w:r>
      <w:r w:rsidR="00FF7B54">
        <w:rPr>
          <w:bCs w:val="0"/>
        </w:rPr>
        <w:t>)</w:t>
      </w:r>
    </w:p>
    <w:p w14:paraId="4A2F403A" w14:textId="40ECAD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37F6E">
        <w:t>19</w:t>
      </w:r>
    </w:p>
    <w:p w14:paraId="06455968" w14:textId="3787AEDD" w:rsidR="00463675" w:rsidRDefault="00463675" w:rsidP="0006293D">
      <w:pPr>
        <w:pStyle w:val="Title"/>
        <w:ind w:hanging="1699"/>
      </w:pPr>
      <w:r w:rsidRPr="000F4E43">
        <w:t>Work Item:</w:t>
      </w:r>
      <w:r w:rsidRPr="000F4E43">
        <w:tab/>
      </w:r>
      <w:r w:rsidR="0006293D" w:rsidRPr="0006293D">
        <w:t>IoT_NTN_Ph3-Core</w:t>
      </w:r>
    </w:p>
    <w:p w14:paraId="6507C013" w14:textId="77777777" w:rsidR="0006293D" w:rsidRPr="0006293D" w:rsidRDefault="0006293D" w:rsidP="0006293D"/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E84ABC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06293D">
        <w:rPr>
          <w:b w:val="0"/>
          <w:bCs/>
          <w:lang w:val="fr-FR"/>
        </w:rPr>
        <w:t>RAN2</w:t>
      </w:r>
    </w:p>
    <w:p w14:paraId="6E0CADF1" w14:textId="2BA2478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6293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C2EEA5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6293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BA5F63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06293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EE2E8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6DE9">
        <w:t xml:space="preserve">TS 23.401 CR </w:t>
      </w:r>
      <w:r w:rsidR="00BC6D0E">
        <w:t>3804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C5123" w14:textId="5265EF07" w:rsidR="00F50D00" w:rsidRPr="00F50D00" w:rsidRDefault="00F50D00" w:rsidP="00F50D00">
      <w:pPr>
        <w:widowControl w:val="0"/>
        <w:spacing w:after="60" w:line="276" w:lineRule="auto"/>
        <w:ind w:left="1985" w:hanging="1985"/>
        <w:rPr>
          <w:rFonts w:ascii="Arial" w:eastAsia="DengXian" w:hAnsi="Arial" w:cs="Arial"/>
          <w:b/>
          <w:kern w:val="2"/>
          <w:sz w:val="22"/>
          <w:szCs w:val="22"/>
          <w:lang w:val="en-US" w:eastAsia="zh-CN"/>
        </w:rPr>
      </w:pPr>
      <w:r>
        <w:rPr>
          <w:rFonts w:ascii="Arial" w:hAnsi="Arial" w:cs="Arial"/>
        </w:rPr>
        <w:t xml:space="preserve">SA2 thanks RAN2 for the </w:t>
      </w:r>
      <w:r w:rsidRPr="00F50D00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</w:rPr>
        <w:t>LS on Satellite IDs for store-and-forward operation</w:t>
      </w:r>
      <w:r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>.</w:t>
      </w:r>
      <w:r w:rsidR="00625B85">
        <w:rPr>
          <w:rFonts w:ascii="Arial" w:eastAsia="DengXian" w:hAnsi="Arial" w:cs="Arial"/>
          <w:bCs/>
          <w:kern w:val="2"/>
          <w:sz w:val="22"/>
          <w:szCs w:val="22"/>
          <w:lang w:val="en-US" w:eastAsia="zh-CN"/>
        </w:rPr>
        <w:t xml:space="preserve"> </w:t>
      </w:r>
      <w:r w:rsidRPr="00F50D00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</w:rPr>
        <w:t xml:space="preserve"> </w:t>
      </w:r>
    </w:p>
    <w:p w14:paraId="2B8FB26A" w14:textId="3E62FF0C" w:rsidR="00625B85" w:rsidRPr="00625B85" w:rsidRDefault="00625B85" w:rsidP="00625B85">
      <w:pPr>
        <w:widowControl w:val="0"/>
        <w:spacing w:after="120"/>
        <w:rPr>
          <w:rFonts w:ascii="Arial" w:eastAsia="DengXian" w:hAnsi="Arial" w:cs="Arial"/>
          <w:kern w:val="2"/>
          <w:lang w:val="en-US" w:eastAsia="zh-CN"/>
        </w:rPr>
      </w:pPr>
      <w:r>
        <w:rPr>
          <w:rFonts w:ascii="Arial" w:eastAsia="DengXian" w:hAnsi="Arial" w:cs="Arial"/>
          <w:kern w:val="2"/>
          <w:u w:val="single"/>
          <w:lang w:val="en-US" w:eastAsia="zh-CN"/>
        </w:rPr>
        <w:t xml:space="preserve">RAN2 </w:t>
      </w:r>
      <w:r w:rsidRPr="00625B85">
        <w:rPr>
          <w:rFonts w:ascii="Arial" w:eastAsia="DengXian" w:hAnsi="Arial" w:cs="Arial" w:hint="eastAsia"/>
          <w:kern w:val="2"/>
          <w:u w:val="single"/>
          <w:lang w:val="en-US" w:eastAsia="zh-CN"/>
        </w:rPr>
        <w:t>Question</w:t>
      </w:r>
      <w:r w:rsidRPr="00625B85">
        <w:rPr>
          <w:rFonts w:ascii="Arial" w:eastAsia="DengXian" w:hAnsi="Arial" w:cs="Arial" w:hint="eastAsia"/>
          <w:kern w:val="2"/>
          <w:lang w:val="en-US" w:eastAsia="zh-CN"/>
        </w:rPr>
        <w:t>: If a satellite is included in the satellite list signalled by the MME to a UE, does it mean one of the below options, or possibly other option(s):</w:t>
      </w:r>
    </w:p>
    <w:p w14:paraId="42BC624D" w14:textId="77777777" w:rsidR="00625B85" w:rsidRPr="00625B85" w:rsidRDefault="00625B85" w:rsidP="00625B85">
      <w:pPr>
        <w:widowControl w:val="0"/>
        <w:numPr>
          <w:ilvl w:val="0"/>
          <w:numId w:val="17"/>
        </w:numPr>
        <w:spacing w:after="120"/>
        <w:rPr>
          <w:rFonts w:ascii="Arial" w:eastAsia="DengXian" w:hAnsi="Arial" w:cs="Arial"/>
          <w:kern w:val="2"/>
          <w:lang w:val="en-US" w:eastAsia="zh-CN"/>
        </w:rPr>
      </w:pPr>
      <w:r w:rsidRPr="00625B85">
        <w:rPr>
          <w:rFonts w:ascii="Arial" w:eastAsia="DengXian" w:hAnsi="Arial" w:cs="Arial" w:hint="eastAsia"/>
          <w:kern w:val="2"/>
          <w:lang w:val="en-US" w:eastAsia="zh-CN"/>
        </w:rPr>
        <w:t xml:space="preserve">the satellite has the UE context but does not necessarily </w:t>
      </w:r>
      <w:bookmarkStart w:id="0" w:name="_Hlk183607613"/>
      <w:r w:rsidRPr="00625B85">
        <w:rPr>
          <w:rFonts w:ascii="Arial" w:eastAsia="DengXian" w:hAnsi="Arial" w:cs="Arial" w:hint="eastAsia"/>
          <w:kern w:val="2"/>
          <w:lang w:val="en-US" w:eastAsia="zh-CN"/>
        </w:rPr>
        <w:t>support store-and-forward operation</w:t>
      </w:r>
      <w:bookmarkEnd w:id="0"/>
      <w:r w:rsidRPr="00625B85">
        <w:rPr>
          <w:rFonts w:ascii="Arial" w:eastAsia="DengXian" w:hAnsi="Arial" w:cs="Arial" w:hint="eastAsia"/>
          <w:kern w:val="2"/>
          <w:lang w:val="en-US" w:eastAsia="zh-CN"/>
        </w:rPr>
        <w:t>; or</w:t>
      </w:r>
    </w:p>
    <w:p w14:paraId="5013FCFD" w14:textId="77777777" w:rsidR="00625B85" w:rsidRPr="00625B85" w:rsidRDefault="00625B85" w:rsidP="00625B85">
      <w:pPr>
        <w:widowControl w:val="0"/>
        <w:numPr>
          <w:ilvl w:val="0"/>
          <w:numId w:val="17"/>
        </w:numPr>
        <w:spacing w:after="180"/>
        <w:rPr>
          <w:rFonts w:ascii="Arial" w:eastAsia="DengXian" w:hAnsi="Arial" w:cs="Arial"/>
          <w:kern w:val="2"/>
          <w:lang w:val="en-US" w:eastAsia="zh-CN"/>
        </w:rPr>
      </w:pPr>
      <w:r w:rsidRPr="00625B85">
        <w:rPr>
          <w:rFonts w:ascii="Arial" w:eastAsia="DengXian" w:hAnsi="Arial" w:cs="Arial" w:hint="eastAsia"/>
          <w:kern w:val="2"/>
          <w:lang w:val="en-US" w:eastAsia="zh-CN"/>
        </w:rPr>
        <w:t>the satellite has the UE context and must support store-and-forward operation (but may be operating in normal IoT NTN mode or in store-and-forward mode when the satellite serves the area where the UE is located)?</w:t>
      </w:r>
      <w:r w:rsidRPr="00625B85">
        <w:rPr>
          <w:rFonts w:ascii="Arial" w:eastAsia="DengXian" w:hAnsi="Arial" w:cs="Arial"/>
          <w:kern w:val="2"/>
          <w:lang w:val="en-US" w:eastAsia="zh-CN"/>
        </w:rPr>
        <w:t xml:space="preserve"> </w:t>
      </w:r>
      <w:r w:rsidRPr="00625B85">
        <w:rPr>
          <w:rFonts w:ascii="Arial" w:eastAsia="DengXian" w:hAnsi="Arial" w:cs="Arial" w:hint="eastAsia"/>
          <w:kern w:val="2"/>
          <w:lang w:val="en-US" w:eastAsia="zh-CN"/>
        </w:rPr>
        <w:t xml:space="preserve">  </w:t>
      </w:r>
    </w:p>
    <w:p w14:paraId="3DF5A80C" w14:textId="38DE31A2" w:rsidR="007D63C6" w:rsidRDefault="00AC6DE9" w:rsidP="00625B85">
      <w:pPr>
        <w:rPr>
          <w:rFonts w:ascii="Arial" w:hAnsi="Arial" w:cs="Arial"/>
          <w:noProof/>
          <w:lang w:val="en-US" w:eastAsia="ko-KR"/>
        </w:rPr>
      </w:pPr>
      <w:r w:rsidRPr="54ED441C">
        <w:rPr>
          <w:rFonts w:ascii="Arial" w:hAnsi="Arial" w:cs="Arial"/>
          <w:b/>
          <w:bCs/>
          <w:noProof/>
          <w:lang w:val="en-US" w:eastAsia="ko-KR"/>
        </w:rPr>
        <w:t>[SA2 answer]</w:t>
      </w:r>
      <w:r w:rsidRPr="54ED441C">
        <w:rPr>
          <w:rFonts w:ascii="Arial" w:hAnsi="Arial" w:cs="Arial"/>
          <w:noProof/>
          <w:lang w:val="en-US" w:eastAsia="ko-KR"/>
        </w:rPr>
        <w:t xml:space="preserve">: </w:t>
      </w:r>
      <w:r w:rsidR="00BB5E23" w:rsidRPr="54ED441C">
        <w:rPr>
          <w:rFonts w:ascii="Arial" w:hAnsi="Arial" w:cs="Arial"/>
          <w:noProof/>
          <w:lang w:val="en-US" w:eastAsia="ko-KR"/>
        </w:rPr>
        <w:t>The MME provides “S&amp;F Monitoring List” to the UE only if the UE indicated support for S&amp;F operation</w:t>
      </w:r>
      <w:r w:rsidR="005774BD" w:rsidRPr="54ED441C">
        <w:rPr>
          <w:rFonts w:ascii="Arial" w:hAnsi="Arial" w:cs="Arial"/>
          <w:noProof/>
          <w:lang w:val="en-US" w:eastAsia="ko-KR"/>
        </w:rPr>
        <w:t xml:space="preserve"> and the satellite </w:t>
      </w:r>
      <w:r w:rsidR="00AD53C5" w:rsidRPr="54ED441C">
        <w:rPr>
          <w:rFonts w:ascii="Arial" w:hAnsi="Arial" w:cs="Arial"/>
          <w:noProof/>
          <w:lang w:val="en-US" w:eastAsia="ko-KR"/>
        </w:rPr>
        <w:t xml:space="preserve">at the time it has provided this list to the UE was also operating </w:t>
      </w:r>
      <w:r w:rsidR="00A40241" w:rsidRPr="54ED441C">
        <w:rPr>
          <w:rFonts w:ascii="Arial" w:hAnsi="Arial" w:cs="Arial"/>
          <w:noProof/>
          <w:lang w:val="en-US" w:eastAsia="ko-KR"/>
        </w:rPr>
        <w:t xml:space="preserve">S&amp;F procedures (i.e. feeder link was absent). </w:t>
      </w:r>
      <w:r w:rsidR="001A17A7" w:rsidRPr="54ED441C">
        <w:rPr>
          <w:rFonts w:ascii="Arial" w:hAnsi="Arial" w:cs="Arial"/>
          <w:noProof/>
          <w:lang w:val="en-US" w:eastAsia="ko-KR"/>
        </w:rPr>
        <w:t xml:space="preserve">It is though possible that when the UE is attempting to </w:t>
      </w:r>
      <w:r w:rsidR="00561C52" w:rsidRPr="54ED441C">
        <w:rPr>
          <w:rFonts w:ascii="Arial" w:hAnsi="Arial" w:cs="Arial"/>
          <w:noProof/>
          <w:lang w:val="en-US" w:eastAsia="ko-KR"/>
        </w:rPr>
        <w:t xml:space="preserve">establish </w:t>
      </w:r>
      <w:r w:rsidR="00CC5A94" w:rsidRPr="54ED441C">
        <w:rPr>
          <w:rFonts w:ascii="Arial" w:hAnsi="Arial" w:cs="Arial"/>
          <w:noProof/>
          <w:lang w:val="en-US" w:eastAsia="ko-KR"/>
        </w:rPr>
        <w:t xml:space="preserve">a </w:t>
      </w:r>
      <w:r w:rsidR="00561C52" w:rsidRPr="54ED441C">
        <w:rPr>
          <w:rFonts w:ascii="Arial" w:hAnsi="Arial" w:cs="Arial"/>
          <w:noProof/>
          <w:lang w:val="en-US" w:eastAsia="ko-KR"/>
        </w:rPr>
        <w:t xml:space="preserve">signalling connection to one of the satellites included in the “S&amp;F Monitoring List” (later on) the </w:t>
      </w:r>
      <w:r w:rsidR="00D21CF2" w:rsidRPr="54ED441C">
        <w:rPr>
          <w:rFonts w:ascii="Arial" w:hAnsi="Arial" w:cs="Arial"/>
          <w:noProof/>
          <w:lang w:val="en-US" w:eastAsia="ko-KR"/>
        </w:rPr>
        <w:t xml:space="preserve">feeder link for this satellite is re-established. </w:t>
      </w:r>
    </w:p>
    <w:p w14:paraId="1ED1AC42" w14:textId="77777777" w:rsidR="007C0BFD" w:rsidRDefault="007C0BFD" w:rsidP="00625B85">
      <w:pPr>
        <w:rPr>
          <w:rFonts w:ascii="Arial" w:hAnsi="Arial" w:cs="Arial"/>
          <w:noProof/>
          <w:lang w:val="en-US" w:eastAsia="ko-KR"/>
        </w:rPr>
      </w:pPr>
    </w:p>
    <w:p w14:paraId="23610C63" w14:textId="21FF072B" w:rsidR="007C0BFD" w:rsidRDefault="0018576D" w:rsidP="00625B85">
      <w:pPr>
        <w:rPr>
          <w:rFonts w:ascii="Arial" w:hAnsi="Arial" w:cs="Arial"/>
          <w:noProof/>
          <w:lang w:val="en-US" w:eastAsia="ko-KR"/>
        </w:rPr>
      </w:pPr>
      <w:r>
        <w:rPr>
          <w:rFonts w:ascii="Arial" w:hAnsi="Arial" w:cs="Arial"/>
          <w:noProof/>
          <w:lang w:val="en-US" w:eastAsia="ko-KR"/>
        </w:rPr>
        <w:t>With respect to</w:t>
      </w:r>
      <w:r w:rsidR="007C0BFD">
        <w:rPr>
          <w:rFonts w:ascii="Arial" w:hAnsi="Arial" w:cs="Arial"/>
          <w:noProof/>
          <w:lang w:val="en-US" w:eastAsia="ko-KR"/>
        </w:rPr>
        <w:t xml:space="preserve"> the following statement</w:t>
      </w:r>
      <w:r w:rsidR="00EC1B31">
        <w:rPr>
          <w:rFonts w:ascii="Arial" w:hAnsi="Arial" w:cs="Arial"/>
          <w:noProof/>
          <w:lang w:val="en-US" w:eastAsia="ko-KR"/>
        </w:rPr>
        <w:t xml:space="preserve"> included in the incoming LS</w:t>
      </w:r>
      <w:r w:rsidR="007C0BFD">
        <w:rPr>
          <w:rFonts w:ascii="Arial" w:hAnsi="Arial" w:cs="Arial"/>
          <w:noProof/>
          <w:lang w:val="en-US" w:eastAsia="ko-KR"/>
        </w:rPr>
        <w:t xml:space="preserve">: </w:t>
      </w:r>
    </w:p>
    <w:p w14:paraId="27013A0A" w14:textId="77777777" w:rsidR="007C0BFD" w:rsidRDefault="007C0BFD" w:rsidP="00625B85">
      <w:pPr>
        <w:rPr>
          <w:rFonts w:ascii="Arial" w:hAnsi="Arial" w:cs="Arial"/>
          <w:noProof/>
          <w:lang w:val="en-US" w:eastAsia="ko-KR"/>
        </w:rPr>
      </w:pPr>
    </w:p>
    <w:p w14:paraId="35C673BD" w14:textId="77777777" w:rsidR="007C0BFD" w:rsidRPr="007C0BFD" w:rsidRDefault="007C0BFD" w:rsidP="007C0BFD">
      <w:pPr>
        <w:widowControl w:val="0"/>
        <w:numPr>
          <w:ilvl w:val="0"/>
          <w:numId w:val="18"/>
        </w:numPr>
        <w:spacing w:after="180"/>
        <w:rPr>
          <w:rFonts w:ascii="Arial" w:eastAsia="DengXian" w:hAnsi="Arial" w:cs="Arial"/>
          <w:kern w:val="2"/>
          <w:lang w:val="en-US" w:eastAsia="zh-CN"/>
        </w:rPr>
      </w:pPr>
      <w:r w:rsidRPr="007C0BFD">
        <w:rPr>
          <w:rFonts w:ascii="Arial" w:eastAsia="DengXian" w:hAnsi="Arial" w:cs="Arial" w:hint="eastAsia"/>
          <w:kern w:val="2"/>
          <w:u w:val="single"/>
          <w:lang w:val="en-US" w:eastAsia="zh-CN"/>
        </w:rPr>
        <w:t>RAN2 understanding</w:t>
      </w:r>
      <w:r w:rsidRPr="007C0BFD">
        <w:rPr>
          <w:rFonts w:ascii="Arial" w:eastAsia="DengXian" w:hAnsi="Arial" w:cs="Arial" w:hint="eastAsia"/>
          <w:kern w:val="2"/>
          <w:lang w:val="en-US" w:eastAsia="zh-CN"/>
        </w:rPr>
        <w:t xml:space="preserve">: </w:t>
      </w:r>
      <w:r w:rsidRPr="007C0BFD">
        <w:rPr>
          <w:rFonts w:ascii="Arial" w:eastAsia="DengXian" w:hAnsi="Arial" w:cs="Arial"/>
          <w:kern w:val="2"/>
          <w:lang w:val="en-US" w:eastAsia="zh-CN"/>
        </w:rPr>
        <w:t>Th</w:t>
      </w:r>
      <w:r w:rsidRPr="007C0BFD">
        <w:rPr>
          <w:rFonts w:ascii="Arial" w:eastAsia="DengXian" w:hAnsi="Arial" w:cs="Arial" w:hint="eastAsia"/>
          <w:kern w:val="2"/>
          <w:lang w:val="en-US" w:eastAsia="zh-CN"/>
        </w:rPr>
        <w:t>e UE configured with a satellite ID list by MME is not prevented to camp on, attempt to access to and communicate with a satellite which is not included in the MME-configured satellite list</w:t>
      </w:r>
      <w:r w:rsidRPr="007C0BFD">
        <w:rPr>
          <w:rFonts w:ascii="Arial" w:eastAsia="DengXian" w:hAnsi="Arial" w:cs="Arial"/>
          <w:kern w:val="2"/>
          <w:lang w:val="en-US" w:eastAsia="zh-CN"/>
        </w:rPr>
        <w:t>.</w:t>
      </w:r>
    </w:p>
    <w:p w14:paraId="31E13D4B" w14:textId="69FA340C" w:rsidR="00A46486" w:rsidRPr="00F50D00" w:rsidRDefault="00AC6DE9" w:rsidP="00625B85">
      <w:pPr>
        <w:rPr>
          <w:rFonts w:ascii="Arial" w:hAnsi="Arial" w:cs="Arial"/>
          <w:noProof/>
          <w:lang w:val="en-US" w:eastAsia="ko-KR"/>
        </w:rPr>
      </w:pPr>
      <w:r>
        <w:rPr>
          <w:rFonts w:ascii="Arial" w:hAnsi="Arial" w:cs="Arial"/>
          <w:noProof/>
          <w:lang w:val="en-US" w:eastAsia="ko-KR"/>
        </w:rPr>
        <w:t xml:space="preserve">SA2 approved TS 23.401 </w:t>
      </w:r>
      <w:r w:rsidR="003B18C5">
        <w:rPr>
          <w:rFonts w:ascii="Arial" w:hAnsi="Arial" w:cs="Arial"/>
          <w:noProof/>
          <w:lang w:val="en-US" w:eastAsia="ko-KR"/>
        </w:rPr>
        <w:t>CR</w:t>
      </w:r>
      <w:r w:rsidR="00AE6840">
        <w:rPr>
          <w:rFonts w:ascii="Arial" w:hAnsi="Arial" w:cs="Arial"/>
          <w:noProof/>
          <w:lang w:val="en-US" w:eastAsia="ko-KR"/>
        </w:rPr>
        <w:t>3</w:t>
      </w:r>
      <w:r w:rsidR="003B18C5">
        <w:rPr>
          <w:rFonts w:ascii="Arial" w:hAnsi="Arial" w:cs="Arial"/>
          <w:noProof/>
          <w:lang w:val="en-US" w:eastAsia="ko-KR"/>
        </w:rPr>
        <w:t xml:space="preserve">804 </w:t>
      </w:r>
      <w:r>
        <w:rPr>
          <w:rFonts w:ascii="Arial" w:hAnsi="Arial" w:cs="Arial"/>
          <w:noProof/>
          <w:lang w:val="en-US" w:eastAsia="ko-KR"/>
        </w:rPr>
        <w:t xml:space="preserve">that </w:t>
      </w:r>
      <w:r w:rsidR="0034012F">
        <w:rPr>
          <w:rFonts w:ascii="Arial" w:hAnsi="Arial" w:cs="Arial"/>
          <w:noProof/>
          <w:lang w:val="en-US" w:eastAsia="ko-KR"/>
        </w:rPr>
        <w:t xml:space="preserve">clarifies the UE procedures </w:t>
      </w:r>
      <w:r w:rsidR="00C668D3">
        <w:rPr>
          <w:rFonts w:ascii="Arial" w:hAnsi="Arial" w:cs="Arial"/>
          <w:noProof/>
          <w:lang w:val="en-US" w:eastAsia="ko-KR"/>
        </w:rPr>
        <w:t>on how to handle</w:t>
      </w:r>
      <w:r w:rsidR="0034012F">
        <w:rPr>
          <w:rFonts w:ascii="Arial" w:hAnsi="Arial" w:cs="Arial"/>
          <w:noProof/>
          <w:lang w:val="en-US" w:eastAsia="ko-KR"/>
        </w:rPr>
        <w:t xml:space="preserve"> the </w:t>
      </w:r>
      <w:r w:rsidR="00C668D3">
        <w:rPr>
          <w:rFonts w:ascii="Arial" w:hAnsi="Arial" w:cs="Arial"/>
          <w:noProof/>
          <w:lang w:val="en-US" w:eastAsia="ko-KR"/>
        </w:rPr>
        <w:t>“</w:t>
      </w:r>
      <w:r w:rsidR="0034012F">
        <w:rPr>
          <w:rFonts w:ascii="Arial" w:hAnsi="Arial" w:cs="Arial"/>
          <w:noProof/>
          <w:lang w:val="en-US" w:eastAsia="ko-KR"/>
        </w:rPr>
        <w:t xml:space="preserve">S&amp;F Monitoring </w:t>
      </w:r>
      <w:r w:rsidR="00C668D3">
        <w:rPr>
          <w:rFonts w:ascii="Arial" w:hAnsi="Arial" w:cs="Arial"/>
          <w:noProof/>
          <w:lang w:val="en-US" w:eastAsia="ko-KR"/>
        </w:rPr>
        <w:t>L</w:t>
      </w:r>
      <w:r w:rsidR="0034012F">
        <w:rPr>
          <w:rFonts w:ascii="Arial" w:hAnsi="Arial" w:cs="Arial"/>
          <w:noProof/>
          <w:lang w:val="en-US" w:eastAsia="ko-KR"/>
        </w:rPr>
        <w:t>ist</w:t>
      </w:r>
      <w:r w:rsidR="00C668D3">
        <w:rPr>
          <w:rFonts w:ascii="Arial" w:hAnsi="Arial" w:cs="Arial"/>
          <w:noProof/>
          <w:lang w:val="en-US" w:eastAsia="ko-KR"/>
        </w:rPr>
        <w:t>”</w:t>
      </w:r>
      <w:r w:rsidR="0034012F">
        <w:rPr>
          <w:rFonts w:ascii="Arial" w:hAnsi="Arial" w:cs="Arial"/>
          <w:noProof/>
          <w:lang w:val="en-US" w:eastAsia="ko-KR"/>
        </w:rPr>
        <w:t xml:space="preserve"> provided by the MME.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CFB3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68D3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0D842CC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668D3">
        <w:rPr>
          <w:rFonts w:ascii="Arial" w:hAnsi="Arial" w:cs="Arial"/>
        </w:rPr>
        <w:t>SA2 asks RAN2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3EABA313" w:rsidR="0029761A" w:rsidRPr="0083052B" w:rsidRDefault="0029761A" w:rsidP="45E09EA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lang w:val="sv-FI"/>
        </w:rPr>
      </w:pPr>
      <w:r w:rsidRPr="45E09EAE">
        <w:rPr>
          <w:rFonts w:ascii="Arial" w:hAnsi="Arial" w:cs="Arial"/>
          <w:lang w:val="sv-FI"/>
        </w:rPr>
        <w:t>TSG-SA2 Meeting #</w:t>
      </w:r>
      <w:r w:rsidR="0083052B" w:rsidRPr="45E09EAE">
        <w:rPr>
          <w:rFonts w:ascii="Arial" w:hAnsi="Arial" w:cs="Arial"/>
          <w:lang w:val="sv-FI"/>
        </w:rPr>
        <w:t>168</w:t>
      </w:r>
      <w:r>
        <w:tab/>
      </w:r>
      <w:r>
        <w:tab/>
      </w:r>
      <w:r w:rsidR="0083052B" w:rsidRPr="45E09EAE">
        <w:rPr>
          <w:rFonts w:ascii="Arial" w:hAnsi="Arial" w:cs="Arial"/>
          <w:lang w:val="sv-FI"/>
        </w:rPr>
        <w:t>7-11</w:t>
      </w:r>
      <w:r w:rsidRPr="45E09EAE">
        <w:rPr>
          <w:rFonts w:ascii="Arial" w:hAnsi="Arial" w:cs="Arial"/>
          <w:lang w:val="sv-FI"/>
        </w:rPr>
        <w:t xml:space="preserve"> </w:t>
      </w:r>
      <w:r w:rsidR="0083052B" w:rsidRPr="45E09EAE">
        <w:rPr>
          <w:rFonts w:ascii="Arial" w:hAnsi="Arial" w:cs="Arial"/>
          <w:lang w:val="sv-FI"/>
        </w:rPr>
        <w:t>April</w:t>
      </w:r>
      <w:r w:rsidRPr="45E09EAE">
        <w:rPr>
          <w:rFonts w:ascii="Arial" w:hAnsi="Arial" w:cs="Arial"/>
          <w:lang w:val="sv-FI"/>
        </w:rPr>
        <w:t xml:space="preserve"> 2025</w:t>
      </w:r>
      <w:r>
        <w:tab/>
      </w:r>
      <w:r w:rsidR="0083052B" w:rsidRPr="45E09EAE">
        <w:rPr>
          <w:rFonts w:ascii="Arial" w:hAnsi="Arial" w:cs="Arial"/>
          <w:lang w:val="sv-FI"/>
        </w:rPr>
        <w:t>Got</w:t>
      </w:r>
      <w:r w:rsidR="03BC417E" w:rsidRPr="45E09EAE">
        <w:rPr>
          <w:rFonts w:ascii="Arial" w:hAnsi="Arial" w:cs="Arial"/>
          <w:lang w:val="sv-FI"/>
        </w:rPr>
        <w:t>h</w:t>
      </w:r>
      <w:r w:rsidR="0083052B" w:rsidRPr="45E09EAE">
        <w:rPr>
          <w:rFonts w:ascii="Arial" w:hAnsi="Arial" w:cs="Arial"/>
          <w:lang w:val="sv-FI"/>
        </w:rPr>
        <w:t>eb</w:t>
      </w:r>
      <w:r w:rsidR="45B3E2FC" w:rsidRPr="45E09EAE">
        <w:rPr>
          <w:rFonts w:ascii="Arial" w:hAnsi="Arial" w:cs="Arial"/>
          <w:lang w:val="sv-FI"/>
        </w:rPr>
        <w:t>u</w:t>
      </w:r>
      <w:r w:rsidR="0083052B" w:rsidRPr="45E09EAE">
        <w:rPr>
          <w:rFonts w:ascii="Arial" w:hAnsi="Arial" w:cs="Arial"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672BB" w14:textId="77777777" w:rsidR="006666CE" w:rsidRDefault="006666CE">
      <w:r>
        <w:separator/>
      </w:r>
    </w:p>
  </w:endnote>
  <w:endnote w:type="continuationSeparator" w:id="0">
    <w:p w14:paraId="378E94A7" w14:textId="77777777" w:rsidR="006666CE" w:rsidRDefault="006666CE">
      <w:r>
        <w:continuationSeparator/>
      </w:r>
    </w:p>
  </w:endnote>
  <w:endnote w:type="continuationNotice" w:id="1">
    <w:p w14:paraId="0FDA30A6" w14:textId="77777777" w:rsidR="00311022" w:rsidRDefault="00311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72D90" w14:textId="77777777" w:rsidR="006666CE" w:rsidRDefault="006666CE">
      <w:r>
        <w:separator/>
      </w:r>
    </w:p>
  </w:footnote>
  <w:footnote w:type="continuationSeparator" w:id="0">
    <w:p w14:paraId="3411555C" w14:textId="77777777" w:rsidR="006666CE" w:rsidRDefault="006666CE">
      <w:r>
        <w:continuationSeparator/>
      </w:r>
    </w:p>
  </w:footnote>
  <w:footnote w:type="continuationNotice" w:id="1">
    <w:p w14:paraId="7FB47D13" w14:textId="77777777" w:rsidR="00311022" w:rsidRDefault="003110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3"/>
  </w:num>
  <w:num w:numId="5" w16cid:durableId="1070035469">
    <w:abstractNumId w:val="11"/>
  </w:num>
  <w:num w:numId="6" w16cid:durableId="542668412">
    <w:abstractNumId w:val="9"/>
  </w:num>
  <w:num w:numId="7" w16cid:durableId="982999954">
    <w:abstractNumId w:val="8"/>
  </w:num>
  <w:num w:numId="8" w16cid:durableId="379600654">
    <w:abstractNumId w:val="7"/>
  </w:num>
  <w:num w:numId="9" w16cid:durableId="1278952187">
    <w:abstractNumId w:val="6"/>
  </w:num>
  <w:num w:numId="10" w16cid:durableId="1742174619">
    <w:abstractNumId w:val="10"/>
  </w:num>
  <w:num w:numId="11" w16cid:durableId="213005616">
    <w:abstractNumId w:val="5"/>
  </w:num>
  <w:num w:numId="12" w16cid:durableId="1094521395">
    <w:abstractNumId w:val="4"/>
  </w:num>
  <w:num w:numId="13" w16cid:durableId="1442188344">
    <w:abstractNumId w:val="3"/>
  </w:num>
  <w:num w:numId="14" w16cid:durableId="2046251974">
    <w:abstractNumId w:val="2"/>
  </w:num>
  <w:num w:numId="15" w16cid:durableId="160630959">
    <w:abstractNumId w:val="16"/>
  </w:num>
  <w:num w:numId="16" w16cid:durableId="1619986636">
    <w:abstractNumId w:val="12"/>
  </w:num>
  <w:num w:numId="17" w16cid:durableId="169566037">
    <w:abstractNumId w:val="0"/>
  </w:num>
  <w:num w:numId="18" w16cid:durableId="54220717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7BDF"/>
    <w:rsid w:val="00022C70"/>
    <w:rsid w:val="0003296E"/>
    <w:rsid w:val="00051102"/>
    <w:rsid w:val="000534DD"/>
    <w:rsid w:val="0006293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664D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76D"/>
    <w:rsid w:val="00185D30"/>
    <w:rsid w:val="00187714"/>
    <w:rsid w:val="0019075D"/>
    <w:rsid w:val="001A17A7"/>
    <w:rsid w:val="001A306C"/>
    <w:rsid w:val="001A4FB5"/>
    <w:rsid w:val="001B12DE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4BB4"/>
    <w:rsid w:val="00236171"/>
    <w:rsid w:val="00237F6E"/>
    <w:rsid w:val="0024309D"/>
    <w:rsid w:val="00243599"/>
    <w:rsid w:val="0024583C"/>
    <w:rsid w:val="00247584"/>
    <w:rsid w:val="00251330"/>
    <w:rsid w:val="00252877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1022"/>
    <w:rsid w:val="00324937"/>
    <w:rsid w:val="0034012F"/>
    <w:rsid w:val="00343BBE"/>
    <w:rsid w:val="00344778"/>
    <w:rsid w:val="00347478"/>
    <w:rsid w:val="00381387"/>
    <w:rsid w:val="003856A3"/>
    <w:rsid w:val="00387EBE"/>
    <w:rsid w:val="003A2DAF"/>
    <w:rsid w:val="003A4C02"/>
    <w:rsid w:val="003B18C5"/>
    <w:rsid w:val="003C280F"/>
    <w:rsid w:val="003C464C"/>
    <w:rsid w:val="003C6ED3"/>
    <w:rsid w:val="003E015B"/>
    <w:rsid w:val="003F2AC5"/>
    <w:rsid w:val="003F396C"/>
    <w:rsid w:val="003F7CB8"/>
    <w:rsid w:val="00400415"/>
    <w:rsid w:val="00416573"/>
    <w:rsid w:val="004178B1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13AD"/>
    <w:rsid w:val="00546E18"/>
    <w:rsid w:val="00547EA9"/>
    <w:rsid w:val="00551D6A"/>
    <w:rsid w:val="00557A36"/>
    <w:rsid w:val="00561C52"/>
    <w:rsid w:val="00571D64"/>
    <w:rsid w:val="00572BCD"/>
    <w:rsid w:val="00574CB5"/>
    <w:rsid w:val="00575F5E"/>
    <w:rsid w:val="005774BD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5B85"/>
    <w:rsid w:val="0064001D"/>
    <w:rsid w:val="00640B62"/>
    <w:rsid w:val="00641C7C"/>
    <w:rsid w:val="006531E9"/>
    <w:rsid w:val="00656745"/>
    <w:rsid w:val="006666CE"/>
    <w:rsid w:val="00666C42"/>
    <w:rsid w:val="006713BC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0F23"/>
    <w:rsid w:val="006E17FC"/>
    <w:rsid w:val="006E5E5B"/>
    <w:rsid w:val="006F1B00"/>
    <w:rsid w:val="00704118"/>
    <w:rsid w:val="007114BF"/>
    <w:rsid w:val="00720A76"/>
    <w:rsid w:val="0072180B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968"/>
    <w:rsid w:val="007850F6"/>
    <w:rsid w:val="00787DEC"/>
    <w:rsid w:val="0079169F"/>
    <w:rsid w:val="00796021"/>
    <w:rsid w:val="007A1FE0"/>
    <w:rsid w:val="007B1641"/>
    <w:rsid w:val="007C0BFD"/>
    <w:rsid w:val="007C33CA"/>
    <w:rsid w:val="007C39B8"/>
    <w:rsid w:val="007D374A"/>
    <w:rsid w:val="007D63C6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29E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7FD6"/>
    <w:rsid w:val="008810E7"/>
    <w:rsid w:val="008839F2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2396"/>
    <w:rsid w:val="00914765"/>
    <w:rsid w:val="00922E25"/>
    <w:rsid w:val="00923E7C"/>
    <w:rsid w:val="009258BF"/>
    <w:rsid w:val="00926EDF"/>
    <w:rsid w:val="00935CE3"/>
    <w:rsid w:val="00945261"/>
    <w:rsid w:val="00945CF5"/>
    <w:rsid w:val="00951114"/>
    <w:rsid w:val="00951722"/>
    <w:rsid w:val="009757F5"/>
    <w:rsid w:val="00981150"/>
    <w:rsid w:val="00990BAF"/>
    <w:rsid w:val="0099357B"/>
    <w:rsid w:val="00996DAA"/>
    <w:rsid w:val="009A39FB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0241"/>
    <w:rsid w:val="00A441B5"/>
    <w:rsid w:val="00A44C42"/>
    <w:rsid w:val="00A46486"/>
    <w:rsid w:val="00A50158"/>
    <w:rsid w:val="00A63F0D"/>
    <w:rsid w:val="00A7216C"/>
    <w:rsid w:val="00A80196"/>
    <w:rsid w:val="00A82396"/>
    <w:rsid w:val="00AA7EEF"/>
    <w:rsid w:val="00AB0ABD"/>
    <w:rsid w:val="00AC50B2"/>
    <w:rsid w:val="00AC6962"/>
    <w:rsid w:val="00AC6DE9"/>
    <w:rsid w:val="00AD03D0"/>
    <w:rsid w:val="00AD53C5"/>
    <w:rsid w:val="00AD7C4E"/>
    <w:rsid w:val="00AE1BD2"/>
    <w:rsid w:val="00AE500E"/>
    <w:rsid w:val="00AE6840"/>
    <w:rsid w:val="00AF5D18"/>
    <w:rsid w:val="00B050F4"/>
    <w:rsid w:val="00B05807"/>
    <w:rsid w:val="00B060B9"/>
    <w:rsid w:val="00B111AC"/>
    <w:rsid w:val="00B11FCB"/>
    <w:rsid w:val="00B31FE9"/>
    <w:rsid w:val="00B33565"/>
    <w:rsid w:val="00B33FE3"/>
    <w:rsid w:val="00B42967"/>
    <w:rsid w:val="00B50041"/>
    <w:rsid w:val="00B51FDA"/>
    <w:rsid w:val="00B56531"/>
    <w:rsid w:val="00B74B4C"/>
    <w:rsid w:val="00B77A6A"/>
    <w:rsid w:val="00B81AA1"/>
    <w:rsid w:val="00BA29CD"/>
    <w:rsid w:val="00BB5E23"/>
    <w:rsid w:val="00BC098A"/>
    <w:rsid w:val="00BC18A5"/>
    <w:rsid w:val="00BC6D0E"/>
    <w:rsid w:val="00BD1D12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68D3"/>
    <w:rsid w:val="00C75FDE"/>
    <w:rsid w:val="00C7637A"/>
    <w:rsid w:val="00C8238D"/>
    <w:rsid w:val="00C82E9A"/>
    <w:rsid w:val="00C831C8"/>
    <w:rsid w:val="00C834E7"/>
    <w:rsid w:val="00C84A42"/>
    <w:rsid w:val="00C84B3F"/>
    <w:rsid w:val="00C9202D"/>
    <w:rsid w:val="00CC2A7D"/>
    <w:rsid w:val="00CC55D0"/>
    <w:rsid w:val="00CC5A94"/>
    <w:rsid w:val="00CC7E4D"/>
    <w:rsid w:val="00D003A2"/>
    <w:rsid w:val="00D12D7D"/>
    <w:rsid w:val="00D21CF2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AC2"/>
    <w:rsid w:val="00EB27E9"/>
    <w:rsid w:val="00EC13E9"/>
    <w:rsid w:val="00EC1B31"/>
    <w:rsid w:val="00EC2E7A"/>
    <w:rsid w:val="00EC5CB1"/>
    <w:rsid w:val="00ED50EA"/>
    <w:rsid w:val="00EE0764"/>
    <w:rsid w:val="00EE3074"/>
    <w:rsid w:val="00EF3528"/>
    <w:rsid w:val="00EF6D04"/>
    <w:rsid w:val="00F15B87"/>
    <w:rsid w:val="00F33ED0"/>
    <w:rsid w:val="00F33FB2"/>
    <w:rsid w:val="00F353A7"/>
    <w:rsid w:val="00F35917"/>
    <w:rsid w:val="00F374D3"/>
    <w:rsid w:val="00F50D0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0A62"/>
    <w:rsid w:val="00FF4698"/>
    <w:rsid w:val="00FF7B54"/>
    <w:rsid w:val="03BC417E"/>
    <w:rsid w:val="436D7FF3"/>
    <w:rsid w:val="45B3E2FC"/>
    <w:rsid w:val="45E09EAE"/>
    <w:rsid w:val="54ED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BCC68446-4FE5-44B1-A00E-322DB7FC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C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b3aad903-30ce-464b-bc6d-8b904a2d2ea3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d7bfe91-c265-4543-a6cc-0a4f43c04e3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1948</Characters>
  <Application>Microsoft Office Word</Application>
  <DocSecurity>4</DocSecurity>
  <Lines>16</Lines>
  <Paragraphs>4</Paragraphs>
  <ScaleCrop>false</ScaleCrop>
  <Company>ETSI Sophia Antipolis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Dario Serafino Tonesi</cp:lastModifiedBy>
  <cp:revision>35</cp:revision>
  <cp:lastPrinted>2002-04-24T00:10:00Z</cp:lastPrinted>
  <dcterms:created xsi:type="dcterms:W3CDTF">2024-12-19T05:26:00Z</dcterms:created>
  <dcterms:modified xsi:type="dcterms:W3CDTF">2025-01-14T16:50:00Z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